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991A4" w14:textId="78D7E66B" w:rsidR="00B60327" w:rsidRDefault="00791DA9">
      <w:r>
        <w:t xml:space="preserve">Topic 1: </w:t>
      </w:r>
      <w:r w:rsidRPr="00791DA9">
        <w:t>Why is it so common to use historical financial data to estimate future market betas?</w:t>
      </w:r>
    </w:p>
    <w:p w14:paraId="0DAF9B57" w14:textId="670078B3" w:rsidR="00791DA9" w:rsidRDefault="00791DA9">
      <w:r>
        <w:t xml:space="preserve">Topic 2: </w:t>
      </w:r>
      <w:r w:rsidRPr="00791DA9">
        <w:t>Assume that you have invested half of your wealth in a risk-free asset A and half in a risky portfolio B. Is it theoretically possible to lower your portfolio risk if you move your risk-free asset holdings (A) into another risky portfolio C? In other words, can you ever reduce your risk more by buying a risky security than by buying a risk-free asset?</w:t>
      </w:r>
    </w:p>
    <w:p w14:paraId="182349F7" w14:textId="762A3CE3" w:rsidR="00791DA9" w:rsidRDefault="00791DA9">
      <w:r>
        <w:t xml:space="preserve">Topic 3: </w:t>
      </w:r>
      <w:r w:rsidRPr="00791DA9">
        <w:t>Describe the key assumptions underlying the Capital Asset Pricing Model (CAPM).</w:t>
      </w:r>
    </w:p>
    <w:sectPr w:rsidR="00791D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DA9"/>
    <w:rsid w:val="00791DA9"/>
    <w:rsid w:val="00B6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B18C1"/>
  <w15:chartTrackingRefBased/>
  <w15:docId w15:val="{C9022EE3-456D-4234-91B7-B94CF9643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O'Brien</dc:creator>
  <cp:keywords/>
  <dc:description/>
  <cp:lastModifiedBy>John O'Brien</cp:lastModifiedBy>
  <cp:revision>1</cp:revision>
  <dcterms:created xsi:type="dcterms:W3CDTF">2021-09-26T13:45:00Z</dcterms:created>
  <dcterms:modified xsi:type="dcterms:W3CDTF">2021-09-26T13:46:00Z</dcterms:modified>
</cp:coreProperties>
</file>